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6F" w:rsidRPr="005A156F" w:rsidRDefault="005A156F" w:rsidP="005A156F">
      <w:pPr>
        <w:rPr>
          <w:rFonts w:eastAsia="Times New Roman" w:cs="Times New Roman"/>
          <w:noProof/>
          <w:sz w:val="20"/>
          <w:lang w:val="en-US"/>
        </w:rPr>
      </w:pPr>
    </w:p>
    <w:p w:rsidR="005A156F" w:rsidRPr="005A156F" w:rsidRDefault="005A156F" w:rsidP="005A156F">
      <w:pPr>
        <w:rPr>
          <w:rFonts w:eastAsia="Times New Roman" w:cs="Times New Roman"/>
          <w:noProof/>
          <w:sz w:val="20"/>
          <w:lang w:val="en-US"/>
        </w:rPr>
      </w:pPr>
    </w:p>
    <w:p w:rsidR="005A156F" w:rsidRPr="005A156F" w:rsidRDefault="005A156F" w:rsidP="005A156F">
      <w:pPr>
        <w:rPr>
          <w:rFonts w:eastAsia="Times New Roman" w:cs="Times New Roman"/>
          <w:noProof/>
          <w:sz w:val="20"/>
          <w:lang w:val="en-US"/>
        </w:rPr>
      </w:pPr>
    </w:p>
    <w:p w:rsidR="005A156F" w:rsidRPr="005A156F" w:rsidRDefault="005A156F" w:rsidP="005A156F">
      <w:pPr>
        <w:rPr>
          <w:rFonts w:eastAsia="Times New Roman" w:cs="Times New Roman"/>
          <w:noProof/>
          <w:sz w:val="20"/>
          <w:lang w:val="en-US"/>
        </w:rPr>
      </w:pPr>
      <w:r w:rsidRPr="005A156F">
        <w:rPr>
          <w:rFonts w:eastAsia="Times New Roman" w:cs="Times New Roman"/>
          <w:noProof/>
          <w:sz w:val="20"/>
          <w:lang w:val="en-US"/>
        </w:rPr>
        <w:pict>
          <v:shapetype id="_x0000_t202" coordsize="21600,21600" o:spt="202" path="m,l,21600r21600,l21600,xe">
            <v:stroke joinstyle="miter"/>
            <v:path gradientshapeok="t" o:connecttype="rect"/>
          </v:shapetype>
          <v:shape id="_x0000_s1026" type="#_x0000_t202" style="position:absolute;margin-left:396pt;margin-top:-53.85pt;width:90pt;height:117pt;z-index:251659264" stroked="f">
            <v:textbox style="mso-next-textbox:#_x0000_s1026">
              <w:txbxContent>
                <w:p w:rsidR="005A156F" w:rsidRDefault="005A156F">
                  <w:r>
                    <w:rPr>
                      <w:noProof/>
                      <w:lang w:eastAsia="en-GB"/>
                    </w:rPr>
                    <w:drawing>
                      <wp:inline distT="0" distB="0" distL="0" distR="0" wp14:anchorId="34FBDAC4" wp14:editId="3D046DF7">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w:r>
    </w:p>
    <w:p w:rsidR="005A156F" w:rsidRPr="005A156F" w:rsidRDefault="005A156F" w:rsidP="005A156F">
      <w:pPr>
        <w:jc w:val="right"/>
        <w:rPr>
          <w:rFonts w:eastAsia="Times New Roman" w:cs="Times New Roman"/>
          <w:b/>
          <w:bCs/>
        </w:rPr>
      </w:pPr>
    </w:p>
    <w:p w:rsidR="005A156F" w:rsidRPr="005A156F" w:rsidRDefault="005A156F" w:rsidP="005A156F">
      <w:pPr>
        <w:jc w:val="right"/>
        <w:rPr>
          <w:rFonts w:eastAsia="Times New Roman" w:cs="Times New Roman"/>
        </w:rPr>
      </w:pPr>
    </w:p>
    <w:p w:rsidR="005A156F" w:rsidRPr="005A156F" w:rsidRDefault="005A156F" w:rsidP="005A156F">
      <w:pPr>
        <w:tabs>
          <w:tab w:val="left" w:pos="2160"/>
        </w:tabs>
        <w:rPr>
          <w:rFonts w:eastAsia="Times New Roman" w:cs="Times New Roman"/>
          <w:b/>
          <w:bCs/>
          <w:sz w:val="32"/>
          <w:u w:val="single"/>
        </w:rPr>
      </w:pPr>
      <w:r w:rsidRPr="005A156F">
        <w:rPr>
          <w:rFonts w:eastAsia="Times New Roman" w:cs="Times New Roman"/>
          <w:b/>
          <w:bCs/>
          <w:sz w:val="32"/>
          <w:u w:val="single"/>
        </w:rPr>
        <w:t xml:space="preserve">                                                                           </w:t>
      </w:r>
    </w:p>
    <w:p w:rsidR="005A156F" w:rsidRPr="005A156F" w:rsidRDefault="005A156F" w:rsidP="005A156F">
      <w:pPr>
        <w:rPr>
          <w:rFonts w:eastAsia="Times New Roman" w:cs="Times New Roman"/>
          <w:b/>
          <w:bCs/>
        </w:rPr>
      </w:pPr>
    </w:p>
    <w:p w:rsidR="005A156F" w:rsidRPr="005A156F" w:rsidRDefault="005A156F" w:rsidP="005A156F">
      <w:pPr>
        <w:tabs>
          <w:tab w:val="left" w:pos="2160"/>
        </w:tabs>
        <w:rPr>
          <w:rFonts w:eastAsia="Times New Roman"/>
          <w:b/>
          <w:bCs/>
        </w:rPr>
      </w:pPr>
      <w:r w:rsidRPr="005A156F">
        <w:rPr>
          <w:rFonts w:eastAsia="Times New Roman"/>
          <w:b/>
          <w:bCs/>
        </w:rPr>
        <w:t>To: Finance Panel (Panel of the Scrutiny Committee)</w:t>
      </w:r>
    </w:p>
    <w:p w:rsidR="005A156F" w:rsidRPr="005A156F" w:rsidRDefault="005A156F" w:rsidP="005A156F">
      <w:pPr>
        <w:rPr>
          <w:rFonts w:eastAsia="Times New Roman"/>
          <w:b/>
          <w:bCs/>
        </w:rPr>
      </w:pPr>
    </w:p>
    <w:p w:rsidR="005A156F" w:rsidRPr="005A156F" w:rsidRDefault="005A156F" w:rsidP="005A156F">
      <w:pPr>
        <w:tabs>
          <w:tab w:val="left" w:pos="2160"/>
          <w:tab w:val="left" w:pos="6300"/>
          <w:tab w:val="left" w:pos="7380"/>
        </w:tabs>
        <w:rPr>
          <w:rFonts w:eastAsia="Times New Roman"/>
          <w:b/>
          <w:bCs/>
        </w:rPr>
      </w:pPr>
      <w:r w:rsidRPr="005A156F">
        <w:rPr>
          <w:rFonts w:eastAsia="Times New Roman"/>
          <w:b/>
          <w:bCs/>
        </w:rPr>
        <w:t>Date: 29</w:t>
      </w:r>
      <w:r w:rsidRPr="005A156F">
        <w:rPr>
          <w:rFonts w:eastAsia="Times New Roman"/>
          <w:b/>
          <w:bCs/>
          <w:vertAlign w:val="superscript"/>
        </w:rPr>
        <w:t>th</w:t>
      </w:r>
      <w:r w:rsidRPr="005A156F">
        <w:rPr>
          <w:rFonts w:eastAsia="Times New Roman"/>
          <w:b/>
          <w:bCs/>
        </w:rPr>
        <w:t xml:space="preserve"> March 2017</w:t>
      </w:r>
      <w:r w:rsidRPr="005A156F">
        <w:rPr>
          <w:rFonts w:eastAsia="Times New Roman"/>
          <w:b/>
          <w:bCs/>
        </w:rPr>
        <w:tab/>
        <w:t xml:space="preserve">   </w:t>
      </w:r>
      <w:r w:rsidRPr="005A156F">
        <w:rPr>
          <w:rFonts w:eastAsia="Times New Roman"/>
          <w:b/>
          <w:bCs/>
        </w:rPr>
        <w:tab/>
      </w:r>
    </w:p>
    <w:p w:rsidR="005A156F" w:rsidRPr="005A156F" w:rsidRDefault="005A156F" w:rsidP="005A156F">
      <w:pPr>
        <w:jc w:val="right"/>
        <w:rPr>
          <w:rFonts w:eastAsia="Times New Roman"/>
          <w:b/>
          <w:bCs/>
        </w:rPr>
      </w:pPr>
    </w:p>
    <w:p w:rsidR="005A156F" w:rsidRPr="005A156F" w:rsidRDefault="005A156F" w:rsidP="005A156F">
      <w:pPr>
        <w:rPr>
          <w:rFonts w:eastAsia="Times New Roman"/>
          <w:b/>
          <w:bCs/>
        </w:rPr>
      </w:pPr>
      <w:r w:rsidRPr="005A156F">
        <w:rPr>
          <w:rFonts w:eastAsia="Times New Roman"/>
          <w:b/>
          <w:bCs/>
        </w:rPr>
        <w:t>Report of: Head of Financial Services</w:t>
      </w:r>
    </w:p>
    <w:p w:rsidR="005A156F" w:rsidRPr="005A156F" w:rsidRDefault="005A156F" w:rsidP="005A156F">
      <w:pPr>
        <w:tabs>
          <w:tab w:val="left" w:pos="2160"/>
        </w:tabs>
        <w:rPr>
          <w:rFonts w:eastAsia="Times New Roman"/>
          <w:b/>
          <w:bCs/>
        </w:rPr>
      </w:pPr>
    </w:p>
    <w:p w:rsidR="005A156F" w:rsidRPr="005A156F" w:rsidRDefault="005A156F" w:rsidP="005A156F">
      <w:pPr>
        <w:tabs>
          <w:tab w:val="left" w:pos="2160"/>
        </w:tabs>
        <w:rPr>
          <w:rFonts w:eastAsia="Times New Roman"/>
          <w:b/>
          <w:bCs/>
        </w:rPr>
      </w:pPr>
      <w:r w:rsidRPr="005A156F">
        <w:rPr>
          <w:rFonts w:eastAsia="Times New Roman"/>
          <w:b/>
          <w:bCs/>
        </w:rPr>
        <w:t>Title of Report: Fundamental Service Review Programme 2016/17</w:t>
      </w:r>
    </w:p>
    <w:p w:rsidR="005A156F" w:rsidRPr="005A156F" w:rsidRDefault="005A156F" w:rsidP="005A156F">
      <w:pPr>
        <w:rPr>
          <w:rFonts w:eastAsia="Times New Roman"/>
        </w:rPr>
      </w:pPr>
    </w:p>
    <w:p w:rsidR="005A156F" w:rsidRPr="005A156F" w:rsidRDefault="005A156F" w:rsidP="005A156F">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5A156F" w:rsidRPr="005A156F" w:rsidRDefault="005A156F" w:rsidP="005A156F">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5A156F">
        <w:rPr>
          <w:rFonts w:eastAsia="Times New Roman" w:cs="Times New Roman"/>
          <w:b/>
          <w:bCs/>
          <w:u w:val="single"/>
        </w:rPr>
        <w:t>Summary</w:t>
      </w: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rPr>
      </w:pP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rPr>
      </w:pPr>
      <w:r w:rsidRPr="005A156F">
        <w:rPr>
          <w:rFonts w:eastAsia="Times New Roman"/>
          <w:b/>
          <w:bCs/>
        </w:rPr>
        <w:t>Purpose of report</w:t>
      </w:r>
      <w:r w:rsidRPr="005A156F">
        <w:rPr>
          <w:rFonts w:eastAsia="Times New Roman"/>
        </w:rPr>
        <w:t>: To update the Finance Panel on the Fundamental Service Review (FSR) Programme 2016/17.</w:t>
      </w: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rPr>
      </w:pP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r w:rsidRPr="005A156F">
        <w:rPr>
          <w:rFonts w:eastAsia="Times New Roman"/>
        </w:rPr>
        <w:tab/>
      </w:r>
    </w:p>
    <w:p w:rsidR="005A156F" w:rsidRPr="005A156F" w:rsidRDefault="005A156F" w:rsidP="005A156F">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5A156F">
        <w:rPr>
          <w:rFonts w:eastAsia="Times New Roman" w:cs="Times New Roman"/>
          <w:b/>
        </w:rPr>
        <w:t xml:space="preserve">Key decision </w:t>
      </w:r>
      <w:r w:rsidRPr="005A156F">
        <w:rPr>
          <w:rFonts w:eastAsia="Times New Roman" w:cs="Times New Roman"/>
        </w:rPr>
        <w:t>No</w:t>
      </w:r>
      <w:r w:rsidRPr="005A156F">
        <w:rPr>
          <w:rFonts w:eastAsia="Times New Roman" w:cs="Times New Roman"/>
          <w:b/>
        </w:rPr>
        <w:t xml:space="preserve"> </w:t>
      </w: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rPr>
      </w:pP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b/>
          <w:bCs/>
        </w:rPr>
      </w:pPr>
      <w:r w:rsidRPr="005A156F">
        <w:rPr>
          <w:rFonts w:eastAsia="Times New Roman"/>
          <w:b/>
          <w:bCs/>
        </w:rPr>
        <w:t xml:space="preserve">Executive lead member: </w:t>
      </w:r>
      <w:r w:rsidRPr="005A156F">
        <w:rPr>
          <w:rFonts w:eastAsia="Times New Roman"/>
          <w:bCs/>
        </w:rPr>
        <w:t>Councillor Ed Turner, Board Member for Finance, Asset Management and Public Health</w:t>
      </w: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b/>
          <w:bCs/>
        </w:rPr>
      </w:pPr>
    </w:p>
    <w:p w:rsidR="005A156F" w:rsidRPr="005A156F" w:rsidRDefault="005A156F" w:rsidP="005A156F">
      <w:pPr>
        <w:pBdr>
          <w:top w:val="single" w:sz="4" w:space="1" w:color="auto"/>
          <w:left w:val="single" w:sz="4" w:space="4" w:color="auto"/>
          <w:bottom w:val="single" w:sz="4" w:space="1" w:color="auto"/>
          <w:right w:val="single" w:sz="4" w:space="4" w:color="auto"/>
        </w:pBdr>
        <w:rPr>
          <w:rFonts w:eastAsia="Times New Roman"/>
          <w:b/>
          <w:bCs/>
        </w:rPr>
      </w:pPr>
      <w:r w:rsidRPr="005A156F">
        <w:rPr>
          <w:rFonts w:eastAsia="Times New Roman"/>
          <w:b/>
          <w:bCs/>
        </w:rPr>
        <w:t xml:space="preserve">Report author: </w:t>
      </w:r>
      <w:r w:rsidRPr="005A156F">
        <w:rPr>
          <w:rFonts w:eastAsia="Times New Roman"/>
          <w:bCs/>
        </w:rPr>
        <w:t>Nigel Kennedy, Head of Financial Services</w:t>
      </w:r>
    </w:p>
    <w:p w:rsidR="005A156F" w:rsidRPr="005A156F" w:rsidRDefault="005A156F" w:rsidP="005A156F">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5A156F" w:rsidRPr="005A156F" w:rsidRDefault="005A156F" w:rsidP="005A156F">
      <w:pPr>
        <w:rPr>
          <w:rFonts w:eastAsia="Times New Roman"/>
        </w:rPr>
      </w:pPr>
    </w:p>
    <w:p w:rsidR="005A156F" w:rsidRPr="005A156F" w:rsidRDefault="005A156F" w:rsidP="005A156F">
      <w:pPr>
        <w:rPr>
          <w:rFonts w:eastAsia="Times New Roman"/>
        </w:rPr>
      </w:pPr>
    </w:p>
    <w:p w:rsidR="005A156F" w:rsidRPr="005A156F" w:rsidRDefault="005A156F" w:rsidP="005A156F">
      <w:pPr>
        <w:rPr>
          <w:rFonts w:eastAsia="Times New Roman"/>
          <w:b/>
          <w:i/>
        </w:rPr>
      </w:pPr>
      <w:r w:rsidRPr="005A156F">
        <w:rPr>
          <w:rFonts w:eastAsia="Times New Roman"/>
          <w:b/>
        </w:rPr>
        <w:t>Introduction</w:t>
      </w:r>
    </w:p>
    <w:p w:rsidR="005A156F" w:rsidRPr="005A156F" w:rsidRDefault="005A156F" w:rsidP="005A156F">
      <w:pPr>
        <w:rPr>
          <w:rFonts w:eastAsia="Times New Roman"/>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rPr>
        <w:t xml:space="preserve">The Finance Panel requested a briefing from the Head of Financial Services on the outcomes from the first year of the four-year Fundamental Service Review (FSR) programme that commenced in 2016/17 (Appendix A). </w:t>
      </w:r>
    </w:p>
    <w:p w:rsidR="005A156F" w:rsidRPr="005A156F" w:rsidRDefault="005A156F" w:rsidP="005A156F">
      <w:pPr>
        <w:shd w:val="clear" w:color="auto" w:fill="FFFFFF"/>
        <w:spacing w:before="240" w:after="100" w:afterAutospacing="1"/>
        <w:contextualSpacing/>
        <w:rPr>
          <w:rFonts w:eastAsia="Times New Roman"/>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rPr>
        <w:t xml:space="preserve">The first year programme of Fundamental Service Reviews included reviews of: </w:t>
      </w:r>
    </w:p>
    <w:p w:rsidR="005A156F" w:rsidRPr="005A156F" w:rsidRDefault="005A156F" w:rsidP="005A156F">
      <w:pPr>
        <w:shd w:val="clear" w:color="auto" w:fill="FFFFFF"/>
        <w:spacing w:before="240" w:after="100" w:afterAutospacing="1"/>
        <w:contextualSpacing/>
        <w:rPr>
          <w:rFonts w:eastAsia="Times New Roman"/>
          <w:lang w:eastAsia="en-GB"/>
        </w:rPr>
      </w:pP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Policy &amp; Partnerships</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HR &amp; OD</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Leisure Management</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Building Services</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Waste &amp; Recycling</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Procurement &amp; Payments</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Community Housing &amp; Housing Needs</w:t>
      </w:r>
    </w:p>
    <w:p w:rsidR="005A156F" w:rsidRPr="005A156F" w:rsidRDefault="005A156F" w:rsidP="005A156F">
      <w:pPr>
        <w:numPr>
          <w:ilvl w:val="0"/>
          <w:numId w:val="9"/>
        </w:numPr>
        <w:shd w:val="clear" w:color="auto" w:fill="FFFFFF"/>
        <w:tabs>
          <w:tab w:val="clear" w:pos="360"/>
        </w:tabs>
        <w:spacing w:before="240" w:after="100" w:afterAutospacing="1"/>
        <w:ind w:left="360" w:hanging="360"/>
        <w:contextualSpacing/>
        <w:rPr>
          <w:rFonts w:eastAsia="Times New Roman"/>
          <w:b/>
          <w:lang w:eastAsia="en-GB"/>
        </w:rPr>
      </w:pPr>
      <w:r w:rsidRPr="005A156F">
        <w:rPr>
          <w:rFonts w:eastAsia="Times New Roman"/>
        </w:rPr>
        <w:t xml:space="preserve">Legal Services </w:t>
      </w:r>
    </w:p>
    <w:p w:rsidR="005A156F" w:rsidRPr="005A156F" w:rsidRDefault="005A156F" w:rsidP="005A156F">
      <w:pPr>
        <w:shd w:val="clear" w:color="auto" w:fill="FFFFFF"/>
        <w:spacing w:before="240" w:after="100" w:afterAutospacing="1"/>
        <w:contextualSpacing/>
        <w:rPr>
          <w:rFonts w:eastAsia="Times New Roman"/>
        </w:rPr>
      </w:pPr>
    </w:p>
    <w:p w:rsidR="005A156F" w:rsidRPr="005A156F" w:rsidRDefault="005A156F" w:rsidP="005A156F">
      <w:pPr>
        <w:shd w:val="clear" w:color="auto" w:fill="FFFFFF"/>
        <w:spacing w:before="240" w:after="100" w:afterAutospacing="1"/>
        <w:contextualSpacing/>
        <w:rPr>
          <w:rFonts w:eastAsia="Times New Roman"/>
        </w:rPr>
      </w:pPr>
    </w:p>
    <w:p w:rsidR="005A156F" w:rsidRPr="005A156F" w:rsidRDefault="005A156F" w:rsidP="005A156F">
      <w:pPr>
        <w:shd w:val="clear" w:color="auto" w:fill="FFFFFF"/>
        <w:spacing w:before="240" w:after="100" w:afterAutospacing="1"/>
        <w:contextualSpacing/>
        <w:rPr>
          <w:rFonts w:eastAsia="Times New Roman"/>
        </w:rPr>
      </w:pPr>
    </w:p>
    <w:p w:rsidR="005A156F" w:rsidRPr="005A156F" w:rsidRDefault="005A156F" w:rsidP="005A156F">
      <w:pPr>
        <w:shd w:val="clear" w:color="auto" w:fill="FFFFFF"/>
        <w:spacing w:before="240" w:after="100" w:afterAutospacing="1"/>
        <w:contextualSpacing/>
        <w:rPr>
          <w:rFonts w:eastAsia="Times New Roman"/>
          <w:b/>
          <w:lang w:eastAsia="en-GB"/>
        </w:rPr>
      </w:pPr>
      <w:r w:rsidRPr="005A156F">
        <w:rPr>
          <w:rFonts w:eastAsia="Times New Roman"/>
          <w:b/>
          <w:lang w:eastAsia="en-GB"/>
        </w:rPr>
        <w:lastRenderedPageBreak/>
        <w:t>FSR Approach</w:t>
      </w:r>
    </w:p>
    <w:p w:rsidR="005A156F" w:rsidRPr="005A156F" w:rsidRDefault="005A156F" w:rsidP="005A156F">
      <w:pPr>
        <w:shd w:val="clear" w:color="auto" w:fill="FFFFFF"/>
        <w:spacing w:before="240" w:after="100" w:afterAutospacing="1"/>
        <w:contextualSpacing/>
        <w:rPr>
          <w:rFonts w:eastAsia="Times New Roman"/>
          <w:b/>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lang w:eastAsia="en-GB"/>
        </w:rPr>
        <w:t xml:space="preserve">An FSR Board was established to provide scrutiny and challenge at each stage of the review process and encourage innovative thinking.  </w:t>
      </w:r>
    </w:p>
    <w:p w:rsidR="005A156F" w:rsidRPr="005A156F" w:rsidRDefault="005A156F" w:rsidP="005A156F">
      <w:pPr>
        <w:shd w:val="clear" w:color="auto" w:fill="FFFFFF"/>
        <w:spacing w:before="240" w:after="100" w:afterAutospacing="1"/>
        <w:contextualSpacing/>
        <w:rPr>
          <w:rFonts w:eastAsia="Times New Roman"/>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lang w:eastAsia="en-GB"/>
        </w:rPr>
        <w:t xml:space="preserve">Each review commenced with an analysis of base data including budget, performance, customer satisfaction and benchmarking data captured within a standard template as well as the application of standard analysis tools such as SWOT (Strengths, Weaknesses, Opportunities, </w:t>
      </w:r>
      <w:proofErr w:type="gramStart"/>
      <w:r w:rsidRPr="005A156F">
        <w:rPr>
          <w:rFonts w:eastAsia="Times New Roman"/>
          <w:lang w:eastAsia="en-GB"/>
        </w:rPr>
        <w:t>Threats</w:t>
      </w:r>
      <w:proofErr w:type="gramEnd"/>
      <w:r w:rsidRPr="005A156F">
        <w:rPr>
          <w:rFonts w:eastAsia="Times New Roman"/>
          <w:lang w:eastAsia="en-GB"/>
        </w:rPr>
        <w:t>).</w:t>
      </w:r>
    </w:p>
    <w:p w:rsidR="005A156F" w:rsidRPr="005A156F" w:rsidRDefault="005A156F" w:rsidP="005A156F">
      <w:pPr>
        <w:shd w:val="clear" w:color="auto" w:fill="FFFFFF"/>
        <w:spacing w:before="240" w:after="100" w:afterAutospacing="1"/>
        <w:ind w:left="-720" w:firstLine="195"/>
        <w:contextualSpacing/>
        <w:rPr>
          <w:rFonts w:eastAsia="Times New Roman"/>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lang w:eastAsia="en-GB"/>
        </w:rPr>
        <w:t xml:space="preserve">The data captured within the templates was presented to the FSR Board by the lead Service Head and used to inform initial discussions of the FSR Board and drive innovative thinking on areas of greatest opportunity for improvement, efficiencies and potential service development over the next four year period including options for alternative service delivery models. </w:t>
      </w:r>
    </w:p>
    <w:p w:rsidR="005A156F" w:rsidRPr="005A156F" w:rsidRDefault="005A156F" w:rsidP="005A156F">
      <w:pPr>
        <w:shd w:val="clear" w:color="auto" w:fill="FFFFFF"/>
        <w:spacing w:before="240" w:after="100" w:afterAutospacing="1"/>
        <w:contextualSpacing/>
        <w:rPr>
          <w:rFonts w:eastAsia="Times New Roman"/>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Times New Roman"/>
          <w:lang w:eastAsia="en-GB"/>
        </w:rPr>
      </w:pPr>
      <w:r w:rsidRPr="005A156F">
        <w:rPr>
          <w:rFonts w:eastAsia="Times New Roman"/>
          <w:lang w:eastAsia="en-GB"/>
        </w:rPr>
        <w:t xml:space="preserve">Once the areas of focus had been agreed by the FSR Board, multi-disciplinary project teams convened to undertake further research and progress the identified opportunities and make recommendations back to the FSR Board on those ideas that were likely to bring about the greatest benefits to future service delivery. </w:t>
      </w:r>
    </w:p>
    <w:p w:rsidR="005A156F" w:rsidRPr="005A156F" w:rsidRDefault="005A156F" w:rsidP="005A156F">
      <w:pPr>
        <w:shd w:val="clear" w:color="auto" w:fill="FFFFFF"/>
        <w:spacing w:before="240" w:after="100" w:afterAutospacing="1"/>
        <w:contextualSpacing/>
        <w:rPr>
          <w:rFonts w:eastAsia="Times New Roman"/>
          <w:lang w:eastAsia="en-GB"/>
        </w:rPr>
      </w:pPr>
    </w:p>
    <w:p w:rsidR="005A156F" w:rsidRPr="005A156F" w:rsidRDefault="005A156F" w:rsidP="005A156F">
      <w:pPr>
        <w:numPr>
          <w:ilvl w:val="0"/>
          <w:numId w:val="38"/>
        </w:numPr>
        <w:shd w:val="clear" w:color="auto" w:fill="FFFFFF"/>
        <w:tabs>
          <w:tab w:val="clear" w:pos="360"/>
        </w:tabs>
        <w:spacing w:before="240" w:after="100" w:afterAutospacing="1"/>
        <w:ind w:left="360" w:hanging="360"/>
        <w:contextualSpacing/>
        <w:rPr>
          <w:rFonts w:eastAsia="Calibri"/>
        </w:rPr>
      </w:pPr>
      <w:r w:rsidRPr="005A156F">
        <w:rPr>
          <w:rFonts w:eastAsia="Times New Roman"/>
          <w:lang w:eastAsia="en-GB"/>
        </w:rPr>
        <w:t>For those recommendations that were approved by the FSR Board, progress was monitored and a final stage meeting held to assess progress against the expected outcomes.</w:t>
      </w:r>
    </w:p>
    <w:p w:rsidR="005A156F" w:rsidRPr="005A156F" w:rsidRDefault="005A156F" w:rsidP="005A156F">
      <w:pPr>
        <w:rPr>
          <w:rFonts w:eastAsia="Calibri"/>
        </w:rPr>
      </w:pPr>
    </w:p>
    <w:p w:rsidR="005A156F" w:rsidRPr="005A156F" w:rsidRDefault="005A156F" w:rsidP="005A156F">
      <w:pPr>
        <w:numPr>
          <w:ilvl w:val="0"/>
          <w:numId w:val="38"/>
        </w:numPr>
        <w:tabs>
          <w:tab w:val="clear" w:pos="360"/>
        </w:tabs>
        <w:ind w:left="360" w:hanging="360"/>
        <w:rPr>
          <w:rFonts w:eastAsia="Calibri"/>
        </w:rPr>
      </w:pPr>
      <w:r w:rsidRPr="005A156F">
        <w:rPr>
          <w:rFonts w:eastAsia="Calibri"/>
        </w:rPr>
        <w:t>The outcomes of the FSR programme form part of the Councils annual budget setting process.</w:t>
      </w:r>
    </w:p>
    <w:p w:rsidR="005A156F" w:rsidRPr="005A156F" w:rsidRDefault="005A156F" w:rsidP="005A156F">
      <w:pPr>
        <w:rPr>
          <w:rFonts w:eastAsia="Times New Roman"/>
        </w:rPr>
      </w:pPr>
    </w:p>
    <w:p w:rsidR="005A156F" w:rsidRPr="005A156F" w:rsidRDefault="005A156F" w:rsidP="005A156F">
      <w:pPr>
        <w:rPr>
          <w:rFonts w:eastAsia="Times New Roman"/>
          <w:b/>
        </w:rPr>
      </w:pPr>
      <w:r w:rsidRPr="005A156F">
        <w:rPr>
          <w:rFonts w:eastAsia="Times New Roman"/>
          <w:b/>
        </w:rPr>
        <w:t>FSR Outcomes</w:t>
      </w:r>
    </w:p>
    <w:p w:rsidR="005A156F" w:rsidRPr="005A156F" w:rsidRDefault="005A156F" w:rsidP="005A156F">
      <w:pPr>
        <w:rPr>
          <w:rFonts w:eastAsia="Times New Roman"/>
        </w:rPr>
      </w:pPr>
    </w:p>
    <w:p w:rsidR="005A156F" w:rsidRPr="005A156F" w:rsidRDefault="005A156F" w:rsidP="005A156F">
      <w:pPr>
        <w:numPr>
          <w:ilvl w:val="0"/>
          <w:numId w:val="38"/>
        </w:numPr>
        <w:tabs>
          <w:tab w:val="clear" w:pos="360"/>
        </w:tabs>
        <w:ind w:left="360" w:hanging="360"/>
        <w:rPr>
          <w:rFonts w:eastAsia="Times New Roman"/>
        </w:rPr>
      </w:pPr>
      <w:r w:rsidRPr="005A156F">
        <w:rPr>
          <w:rFonts w:eastAsia="Times New Roman"/>
        </w:rPr>
        <w:t>As expected given the varying nature of the services within year one of the FSR programme, the opportunities identified are equally varied in nature and at varying stages of benefits realisation.</w:t>
      </w:r>
    </w:p>
    <w:p w:rsidR="005A156F" w:rsidRPr="005A156F" w:rsidRDefault="005A156F" w:rsidP="005A156F">
      <w:pPr>
        <w:rPr>
          <w:rFonts w:eastAsia="Times New Roman"/>
        </w:rPr>
      </w:pPr>
    </w:p>
    <w:p w:rsidR="005A156F" w:rsidRPr="005A156F" w:rsidRDefault="005A156F" w:rsidP="005A156F">
      <w:pPr>
        <w:numPr>
          <w:ilvl w:val="0"/>
          <w:numId w:val="38"/>
        </w:numPr>
        <w:tabs>
          <w:tab w:val="clear" w:pos="360"/>
        </w:tabs>
        <w:ind w:left="360" w:hanging="360"/>
        <w:rPr>
          <w:rFonts w:eastAsia="Times New Roman"/>
        </w:rPr>
      </w:pPr>
      <w:r w:rsidRPr="005A156F">
        <w:rPr>
          <w:rFonts w:eastAsia="Times New Roman"/>
        </w:rPr>
        <w:t xml:space="preserve">A summary of the key outcomes approved by the FSR Board for each review together with the expected impact on budget is shown at Appendix B.  As seen at Appendix B, the cumulative positive budget impact arising from the year </w:t>
      </w:r>
      <w:proofErr w:type="gramStart"/>
      <w:r w:rsidRPr="005A156F">
        <w:rPr>
          <w:rFonts w:eastAsia="Times New Roman"/>
        </w:rPr>
        <w:t>one FSRs</w:t>
      </w:r>
      <w:proofErr w:type="gramEnd"/>
      <w:r w:rsidRPr="005A156F">
        <w:rPr>
          <w:rFonts w:eastAsia="Times New Roman"/>
        </w:rPr>
        <w:t xml:space="preserve"> over a four-year period is forecast at £645k.</w:t>
      </w:r>
    </w:p>
    <w:p w:rsidR="005A156F" w:rsidRPr="005A156F" w:rsidRDefault="005A156F" w:rsidP="005A156F">
      <w:pPr>
        <w:rPr>
          <w:rFonts w:eastAsia="Times New Roman"/>
        </w:rPr>
      </w:pPr>
    </w:p>
    <w:p w:rsidR="005A156F" w:rsidRPr="005A156F" w:rsidRDefault="005A156F" w:rsidP="005A156F">
      <w:pPr>
        <w:numPr>
          <w:ilvl w:val="0"/>
          <w:numId w:val="38"/>
        </w:numPr>
        <w:tabs>
          <w:tab w:val="clear" w:pos="360"/>
        </w:tabs>
        <w:ind w:left="360" w:hanging="360"/>
        <w:rPr>
          <w:rFonts w:eastAsia="Times New Roman"/>
        </w:rPr>
      </w:pPr>
      <w:r w:rsidRPr="005A156F">
        <w:rPr>
          <w:rFonts w:eastAsia="Times New Roman"/>
        </w:rPr>
        <w:t>Further detail of individual reviews is shown at Appendices C – H as indicated in the summary table.</w:t>
      </w:r>
    </w:p>
    <w:p w:rsidR="005A156F" w:rsidRPr="005A156F" w:rsidRDefault="005A156F" w:rsidP="005A156F">
      <w:pPr>
        <w:rPr>
          <w:rFonts w:eastAsia="Times New Roman"/>
        </w:rPr>
      </w:pPr>
    </w:p>
    <w:p w:rsidR="005A156F" w:rsidRPr="005A156F" w:rsidRDefault="005A156F" w:rsidP="005A156F">
      <w:pPr>
        <w:contextualSpacing/>
        <w:rPr>
          <w:rFonts w:eastAsia="Calibri"/>
          <w:b/>
        </w:rPr>
      </w:pPr>
      <w:r w:rsidRPr="005A156F">
        <w:rPr>
          <w:rFonts w:eastAsia="Calibri"/>
          <w:b/>
        </w:rPr>
        <w:t>Next Steps</w:t>
      </w:r>
    </w:p>
    <w:p w:rsidR="005A156F" w:rsidRPr="005A156F" w:rsidRDefault="005A156F" w:rsidP="005A156F">
      <w:pPr>
        <w:contextualSpacing/>
        <w:rPr>
          <w:rFonts w:eastAsia="Calibri"/>
          <w:b/>
        </w:rPr>
      </w:pPr>
    </w:p>
    <w:p w:rsidR="005A156F" w:rsidRPr="005A156F" w:rsidRDefault="005A156F" w:rsidP="005A156F">
      <w:pPr>
        <w:numPr>
          <w:ilvl w:val="0"/>
          <w:numId w:val="38"/>
        </w:numPr>
        <w:tabs>
          <w:tab w:val="clear" w:pos="360"/>
        </w:tabs>
        <w:ind w:left="720" w:hanging="360"/>
        <w:contextualSpacing/>
        <w:rPr>
          <w:rFonts w:eastAsia="Calibri"/>
        </w:rPr>
      </w:pPr>
      <w:r w:rsidRPr="005A156F">
        <w:rPr>
          <w:rFonts w:eastAsia="Calibri"/>
        </w:rPr>
        <w:t xml:space="preserve">The FSR Board continues to monitor implementation of recommendations and benefits realisation from the completed service reviews. </w:t>
      </w:r>
    </w:p>
    <w:p w:rsidR="005A156F" w:rsidRPr="005A156F" w:rsidRDefault="005A156F" w:rsidP="005A156F">
      <w:pPr>
        <w:contextualSpacing/>
        <w:rPr>
          <w:rFonts w:eastAsia="Calibri"/>
        </w:rPr>
      </w:pPr>
    </w:p>
    <w:p w:rsidR="005A156F" w:rsidRPr="005A156F" w:rsidRDefault="005A156F" w:rsidP="005A156F">
      <w:pPr>
        <w:numPr>
          <w:ilvl w:val="0"/>
          <w:numId w:val="38"/>
        </w:numPr>
        <w:tabs>
          <w:tab w:val="clear" w:pos="360"/>
        </w:tabs>
        <w:ind w:left="720" w:hanging="360"/>
        <w:contextualSpacing/>
        <w:rPr>
          <w:rFonts w:eastAsia="Calibri"/>
        </w:rPr>
      </w:pPr>
      <w:r w:rsidRPr="005A156F">
        <w:rPr>
          <w:rFonts w:eastAsia="Calibri"/>
        </w:rPr>
        <w:t>The second round of the FSR Programme will be initiated during April for initial sessions with the FSR Board to commence in May (Appendix A).</w:t>
      </w:r>
    </w:p>
    <w:p w:rsidR="005A156F" w:rsidRPr="005A156F" w:rsidRDefault="005A156F" w:rsidP="005A156F">
      <w:pPr>
        <w:contextualSpacing/>
        <w:rPr>
          <w:rFonts w:eastAsia="Calibri"/>
          <w:b/>
          <w:sz w:val="22"/>
          <w:szCs w:val="22"/>
        </w:rPr>
      </w:pPr>
    </w:p>
    <w:p w:rsidR="005A156F" w:rsidRPr="005A156F" w:rsidRDefault="005A156F" w:rsidP="005A156F">
      <w:pPr>
        <w:contextualSpacing/>
        <w:rPr>
          <w:rFonts w:eastAsia="Calibri"/>
          <w:b/>
          <w:sz w:val="22"/>
          <w:szCs w:val="22"/>
        </w:rPr>
      </w:pPr>
    </w:p>
    <w:p w:rsidR="005A156F" w:rsidRPr="005A156F" w:rsidRDefault="005A156F" w:rsidP="005A156F">
      <w:pPr>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A156F" w:rsidRPr="005A156F" w:rsidTr="00EA1B4A">
        <w:tblPrEx>
          <w:tblCellMar>
            <w:top w:w="0" w:type="dxa"/>
            <w:bottom w:w="0" w:type="dxa"/>
          </w:tblCellMar>
        </w:tblPrEx>
        <w:tc>
          <w:tcPr>
            <w:tcW w:w="8522" w:type="dxa"/>
          </w:tcPr>
          <w:p w:rsidR="005A156F" w:rsidRPr="005A156F" w:rsidRDefault="005A156F" w:rsidP="005A156F">
            <w:pPr>
              <w:tabs>
                <w:tab w:val="left" w:pos="720"/>
                <w:tab w:val="left" w:pos="1440"/>
                <w:tab w:val="left" w:pos="2160"/>
                <w:tab w:val="left" w:pos="2880"/>
              </w:tabs>
              <w:rPr>
                <w:rFonts w:eastAsia="Times New Roman" w:cs="Times New Roman"/>
                <w:b/>
                <w:bCs/>
              </w:rPr>
            </w:pPr>
          </w:p>
          <w:p w:rsidR="005A156F" w:rsidRPr="005A156F" w:rsidRDefault="005A156F" w:rsidP="005A156F">
            <w:pPr>
              <w:tabs>
                <w:tab w:val="left" w:pos="720"/>
                <w:tab w:val="left" w:pos="1440"/>
                <w:tab w:val="left" w:pos="2160"/>
                <w:tab w:val="left" w:pos="2880"/>
              </w:tabs>
              <w:rPr>
                <w:rFonts w:eastAsia="Times New Roman" w:cs="Times New Roman"/>
              </w:rPr>
            </w:pPr>
            <w:r w:rsidRPr="005A156F">
              <w:rPr>
                <w:rFonts w:eastAsia="Times New Roman" w:cs="Times New Roman"/>
                <w:b/>
                <w:bCs/>
              </w:rPr>
              <w:t>Name and contact details of author:-</w:t>
            </w:r>
          </w:p>
        </w:tc>
      </w:tr>
      <w:tr w:rsidR="005A156F" w:rsidRPr="005A156F" w:rsidTr="00EA1B4A">
        <w:tblPrEx>
          <w:tblCellMar>
            <w:top w:w="0" w:type="dxa"/>
            <w:bottom w:w="0" w:type="dxa"/>
          </w:tblCellMar>
        </w:tblPrEx>
        <w:tc>
          <w:tcPr>
            <w:tcW w:w="8522" w:type="dxa"/>
          </w:tcPr>
          <w:p w:rsidR="005A156F" w:rsidRPr="005A156F" w:rsidRDefault="005A156F" w:rsidP="005A156F">
            <w:pPr>
              <w:tabs>
                <w:tab w:val="left" w:pos="720"/>
                <w:tab w:val="left" w:pos="1440"/>
                <w:tab w:val="left" w:pos="2160"/>
                <w:tab w:val="left" w:pos="2880"/>
              </w:tabs>
              <w:rPr>
                <w:rFonts w:eastAsia="Times New Roman" w:cs="Times New Roman"/>
              </w:rPr>
            </w:pPr>
          </w:p>
          <w:p w:rsidR="005A156F" w:rsidRPr="005A156F" w:rsidRDefault="005A156F" w:rsidP="005A156F">
            <w:pPr>
              <w:tabs>
                <w:tab w:val="left" w:pos="720"/>
                <w:tab w:val="left" w:pos="1440"/>
                <w:tab w:val="left" w:pos="2160"/>
                <w:tab w:val="left" w:pos="2880"/>
              </w:tabs>
              <w:rPr>
                <w:rFonts w:eastAsia="Times New Roman" w:cs="Times New Roman"/>
              </w:rPr>
            </w:pPr>
            <w:r w:rsidRPr="005A156F">
              <w:rPr>
                <w:rFonts w:eastAsia="Times New Roman" w:cs="Times New Roman"/>
              </w:rPr>
              <w:t>Name:  Jan Heath</w:t>
            </w:r>
          </w:p>
        </w:tc>
      </w:tr>
      <w:tr w:rsidR="005A156F" w:rsidRPr="005A156F" w:rsidTr="00EA1B4A">
        <w:tblPrEx>
          <w:tblCellMar>
            <w:top w:w="0" w:type="dxa"/>
            <w:bottom w:w="0" w:type="dxa"/>
          </w:tblCellMar>
        </w:tblPrEx>
        <w:tc>
          <w:tcPr>
            <w:tcW w:w="8522" w:type="dxa"/>
          </w:tcPr>
          <w:p w:rsidR="005A156F" w:rsidRPr="005A156F" w:rsidRDefault="005A156F" w:rsidP="005A156F">
            <w:pPr>
              <w:tabs>
                <w:tab w:val="left" w:pos="720"/>
                <w:tab w:val="left" w:pos="1440"/>
                <w:tab w:val="left" w:pos="2160"/>
                <w:tab w:val="left" w:pos="2880"/>
              </w:tabs>
              <w:rPr>
                <w:rFonts w:eastAsia="Times New Roman" w:cs="Times New Roman"/>
              </w:rPr>
            </w:pPr>
            <w:r w:rsidRPr="005A156F">
              <w:rPr>
                <w:rFonts w:eastAsia="Times New Roman" w:cs="Times New Roman"/>
              </w:rPr>
              <w:t>Job title:  Business Development &amp; Support Manager</w:t>
            </w:r>
          </w:p>
        </w:tc>
      </w:tr>
      <w:tr w:rsidR="005A156F" w:rsidRPr="005A156F" w:rsidTr="00EA1B4A">
        <w:tblPrEx>
          <w:tblCellMar>
            <w:top w:w="0" w:type="dxa"/>
            <w:bottom w:w="0" w:type="dxa"/>
          </w:tblCellMar>
        </w:tblPrEx>
        <w:tc>
          <w:tcPr>
            <w:tcW w:w="8522" w:type="dxa"/>
          </w:tcPr>
          <w:p w:rsidR="005A156F" w:rsidRPr="005A156F" w:rsidRDefault="005A156F" w:rsidP="005A156F">
            <w:pPr>
              <w:tabs>
                <w:tab w:val="left" w:pos="720"/>
                <w:tab w:val="left" w:pos="1440"/>
                <w:tab w:val="left" w:pos="2160"/>
                <w:tab w:val="left" w:pos="2880"/>
              </w:tabs>
              <w:rPr>
                <w:rFonts w:eastAsia="Times New Roman" w:cs="Times New Roman"/>
              </w:rPr>
            </w:pPr>
            <w:r w:rsidRPr="005A156F">
              <w:rPr>
                <w:rFonts w:eastAsia="Times New Roman" w:cs="Times New Roman"/>
              </w:rPr>
              <w:t>Service Area / Department: Business Improvement</w:t>
            </w:r>
          </w:p>
        </w:tc>
      </w:tr>
      <w:tr w:rsidR="005A156F" w:rsidRPr="005A156F" w:rsidTr="00EA1B4A">
        <w:tblPrEx>
          <w:tblCellMar>
            <w:top w:w="0" w:type="dxa"/>
            <w:bottom w:w="0" w:type="dxa"/>
          </w:tblCellMar>
        </w:tblPrEx>
        <w:tc>
          <w:tcPr>
            <w:tcW w:w="8522" w:type="dxa"/>
          </w:tcPr>
          <w:p w:rsidR="005A156F" w:rsidRPr="005A156F" w:rsidRDefault="005A156F" w:rsidP="005A156F">
            <w:pPr>
              <w:tabs>
                <w:tab w:val="left" w:pos="720"/>
                <w:tab w:val="left" w:pos="1440"/>
                <w:tab w:val="left" w:pos="2160"/>
                <w:tab w:val="left" w:pos="2880"/>
              </w:tabs>
              <w:rPr>
                <w:rFonts w:eastAsia="Times New Roman" w:cs="Times New Roman"/>
              </w:rPr>
            </w:pPr>
            <w:r w:rsidRPr="005A156F">
              <w:rPr>
                <w:rFonts w:eastAsia="Times New Roman" w:cs="Times New Roman"/>
              </w:rPr>
              <w:t xml:space="preserve">Tel:  01865 252324  e-mail:  </w:t>
            </w:r>
            <w:hyperlink r:id="rId7" w:history="1">
              <w:r w:rsidRPr="005A156F">
                <w:rPr>
                  <w:rFonts w:eastAsia="Times New Roman" w:cs="Times New Roman"/>
                  <w:color w:val="0000FF"/>
                  <w:u w:val="single"/>
                </w:rPr>
                <w:t>jheath@oxford.gov.uk</w:t>
              </w:r>
            </w:hyperlink>
          </w:p>
          <w:p w:rsidR="005A156F" w:rsidRPr="005A156F" w:rsidRDefault="005A156F" w:rsidP="005A156F">
            <w:pPr>
              <w:tabs>
                <w:tab w:val="left" w:pos="720"/>
                <w:tab w:val="left" w:pos="1440"/>
                <w:tab w:val="left" w:pos="2160"/>
                <w:tab w:val="left" w:pos="2880"/>
              </w:tabs>
              <w:rPr>
                <w:rFonts w:eastAsia="Times New Roman" w:cs="Times New Roman"/>
                <w:color w:val="0000FF"/>
                <w:u w:val="single"/>
              </w:rPr>
            </w:pPr>
          </w:p>
        </w:tc>
      </w:tr>
    </w:tbl>
    <w:p w:rsidR="005A156F" w:rsidRPr="005A156F" w:rsidRDefault="005A156F" w:rsidP="005A156F">
      <w:pPr>
        <w:rPr>
          <w:rFonts w:eastAsia="Times New Roman"/>
          <w:b/>
          <w:bCs/>
          <w:sz w:val="20"/>
        </w:rPr>
      </w:pPr>
    </w:p>
    <w:p w:rsidR="005A156F" w:rsidRPr="005A156F" w:rsidRDefault="005A156F" w:rsidP="005A156F">
      <w:pPr>
        <w:rPr>
          <w:rFonts w:eastAsia="Times New Roman"/>
          <w:b/>
          <w:bCs/>
        </w:rPr>
      </w:pPr>
      <w:r w:rsidRPr="005A156F">
        <w:rPr>
          <w:rFonts w:eastAsia="Times New Roman"/>
          <w:b/>
          <w:bCs/>
        </w:rPr>
        <w:t>List of background papers: None</w:t>
      </w:r>
    </w:p>
    <w:p w:rsidR="005A156F" w:rsidRPr="005A156F" w:rsidRDefault="005A156F" w:rsidP="005A156F">
      <w:pPr>
        <w:rPr>
          <w:rFonts w:eastAsia="Times New Roman" w:cs="Times New Roman"/>
          <w:b/>
          <w:bCs/>
        </w:rPr>
      </w:pPr>
      <w:r w:rsidRPr="005A156F">
        <w:rPr>
          <w:rFonts w:eastAsia="Times New Roman" w:cs="Times New Roman"/>
          <w:b/>
          <w:bCs/>
        </w:rPr>
        <w:t>Version number: 6.1</w:t>
      </w: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F"/>
    <w:rsid w:val="000B4310"/>
    <w:rsid w:val="004000D7"/>
    <w:rsid w:val="004840A9"/>
    <w:rsid w:val="00504E43"/>
    <w:rsid w:val="005A156F"/>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6F"/>
    <w:rPr>
      <w:rFonts w:ascii="Tahoma" w:hAnsi="Tahoma" w:cs="Tahoma"/>
      <w:sz w:val="16"/>
      <w:szCs w:val="16"/>
    </w:rPr>
  </w:style>
  <w:style w:type="character" w:customStyle="1" w:styleId="BalloonTextChar">
    <w:name w:val="Balloon Text Char"/>
    <w:basedOn w:val="DefaultParagraphFont"/>
    <w:link w:val="BalloonText"/>
    <w:uiPriority w:val="99"/>
    <w:semiHidden/>
    <w:rsid w:val="005A1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6F"/>
    <w:rPr>
      <w:rFonts w:ascii="Tahoma" w:hAnsi="Tahoma" w:cs="Tahoma"/>
      <w:sz w:val="16"/>
      <w:szCs w:val="16"/>
    </w:rPr>
  </w:style>
  <w:style w:type="character" w:customStyle="1" w:styleId="BalloonTextChar">
    <w:name w:val="Balloon Text Char"/>
    <w:basedOn w:val="DefaultParagraphFont"/>
    <w:link w:val="BalloonText"/>
    <w:uiPriority w:val="99"/>
    <w:semiHidden/>
    <w:rsid w:val="005A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eath@ox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A938-83BB-49CF-B725-20CC35B0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2017-03-28T09:23:00Z</dcterms:created>
  <dcterms:modified xsi:type="dcterms:W3CDTF">2017-03-28T09:24:00Z</dcterms:modified>
</cp:coreProperties>
</file>